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32" w:history="1">
        <w:r>
          <w:rPr>
            <w:rFonts w:ascii="Arial" w:hAnsi="Arial" w:eastAsia="Arial" w:cs="Arial"/>
            <w:color w:val="155CAA"/>
            <w:u w:val="single"/>
          </w:rPr>
          <w:t xml:space="preserve">1 Lokaal Plan van Aanpak 2026 versterkingsopgave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32"/>
      <w:r w:rsidRPr="00A448AC">
        <w:rPr>
          <w:rFonts w:ascii="Arial" w:hAnsi="Arial" w:cs="Arial"/>
          <w:b/>
          <w:bCs/>
          <w:color w:val="303F4C"/>
          <w:lang w:val="en-US"/>
        </w:rPr>
        <w:t>Lokaal Plan van Aanpak 2026 versterkingsopgave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Plan van Aanpak 2026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2026 versterkingsopgave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okaal-Plan-van-Aanpak-2026-versterkingsopgave-gemeente-Groningen.pdf" TargetMode="External" /><Relationship Id="rId25" Type="http://schemas.openxmlformats.org/officeDocument/2006/relationships/hyperlink" Target="https://gemeenteraad.groningen.nl//Documenten/Bijlage-Lokaal-Plan-van-Aanpak-2026-versterkingsopgav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