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1" w:history="1">
        <w:r>
          <w:rPr>
            <w:rFonts w:ascii="Arial" w:hAnsi="Arial" w:eastAsia="Arial" w:cs="Arial"/>
            <w:color w:val="155CAA"/>
            <w:u w:val="single"/>
          </w:rPr>
          <w:t xml:space="preserve">1 Maatregelen fiets auto Netwerkanalyse Groningen-Assen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1"/>
      <w:r w:rsidRPr="00A448AC">
        <w:rPr>
          <w:rFonts w:ascii="Arial" w:hAnsi="Arial" w:cs="Arial"/>
          <w:b/>
          <w:bCs/>
          <w:color w:val="303F4C"/>
          <w:lang w:val="en-US"/>
        </w:rPr>
        <w:t>Maatregelen fiets auto Netwerkanalyse Groningen-Assen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Maatregelen fiets auto Netwerkanalyse Groningen-Assen.pdf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Maatregelen-fiets-auto-Netwerkanalyse-Groningen-Ass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