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79" text:style-name="Internet_20_link" text:visited-style-name="Visited_20_Internet_20_Link">
              <text:span text:style-name="ListLabel_20_28">
                <text:span text:style-name="T8">1 Meerjarenprogramma Stadsontwikkeling 2021-2024 (INGETROKKEN zie cbrf jan. '21)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79"/>
        Meerjarenprogramma Stadsontwikkeling 2021-2024 (INGETROKKEN zie cbrf jan. '21)
        <text:bookmark-end text:name="121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23-03-2021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Meerjarenprogamma's Stadsontwikkeling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eerjarenprogamma-s-Stadsontwikkeling-202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Leefkwaliteit verbindt alles wat we bedenken &amp;amp; doen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Leefkwaliteit-verbindt-alles-wat-we-bedenken-d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39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