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5" w:history="1">
        <w:r>
          <w:rPr>
            <w:rFonts w:ascii="Arial" w:hAnsi="Arial" w:eastAsia="Arial" w:cs="Arial"/>
            <w:color w:val="155CAA"/>
            <w:u w:val="single"/>
          </w:rPr>
          <w:t xml:space="preserve">1 Nacalculatie herhuisvesting Stadsbeheer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5"/>
      <w:r w:rsidRPr="00A448AC">
        <w:rPr>
          <w:rFonts w:ascii="Arial" w:hAnsi="Arial" w:cs="Arial"/>
          <w:b/>
          <w:bCs/>
          <w:color w:val="303F4C"/>
          <w:lang w:val="en-US"/>
        </w:rPr>
        <w:t>Nacalculatie herhuisvesting Stadsbeheer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herhuisvesting Stadsbeheer.pdf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acalculatie-herhuisvesting-Stadsbeheer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