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60" text:style-name="Internet_20_link" text:visited-style-name="Visited_20_Internet_20_Link">
              <text:span text:style-name="ListLabel_20_28">
                <text:span text:style-name="T8">1 Nota Mantelzorg 'Van onschatbare waarde'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60"/>
        Nota Mantelzorg 'Van onschatbare waarde'
        <text:bookmark-end text:name="134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26-04-2023 14:35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Nota Mantelzorg Van onschatbare waarde
              <text:span text:style-name="T3"/>
            </text:p>
            <text:p text:style-name="P7"/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Nota-Mantelzorg-Van-onschatbare-waarde-rv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Van Onschatbare waarde De sociale basis actielijn Mantelzorg 2023-2026
              <text:span text:style-name="T3"/>
            </text:p>
            <text:p text:style-name="P7"/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Van-Onschatbare-waarde-De-sociale-basis-actielijn-Mantelzorg-2023-202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Rapportage Mantelzorg en respijtzorg
              <text:span text:style-name="T3"/>
            </text:p>
            <text:p text:style-name="P7"/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Rapportage-Mantelzorg-en-respijtzorg-def-1502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Adviezen nota Mantelzorg Van onschatbare waarde
              <text:span text:style-name="T3"/>
            </text:p>
            <text:p text:style-name="P7"/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413,61 KB</text:p>
          </table:table-cell>
          <table:table-cell table:style-name="Table4.A2" office:value-type="string">
            <text:p text:style-name="P33">
              <text:a xlink:type="simple" xlink:href="https://gemeenteraad.groningen.nl//Documenten/Bijlage/05-Adviezen-nota-Mantelzorg-Van-onschatbare-waar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6" meta:character-count="634" meta:non-whitespace-character-count="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