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03" text:style-name="Internet_20_link" text:visited-style-name="Visited_20_Internet_20_Link">
              <text:span text:style-name="ListLabel_20_28">
                <text:span text:style-name="T8">1 Onderzoek Energiebeleid Rekenkamercommissie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03"/>
        Onderzoek Energiebeleid Rekenkamercommissie
        <text:bookmark-end text:name="53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01-05-2015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RKC rapport Groningen energieneutraal 2035.pdf
              <text:span text:style-name="T3"/>
            </text:p>
            <text:p text:style-name="P7"/>
          </table:table-cell>
          <table:table-cell table:style-name="Table4.A2" office:value-type="string">
            <text:p text:style-name="P8">01-05-2015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435,83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RKC-rapport-Groningen-energieneutraal-203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Onderzoek Energiebeleid Rekenkamercommissie.pdf
              <text:span text:style-name="T3"/>
            </text:p>
            <text:p text:style-name="P7"/>
          </table:table-cell>
          <table:table-cell table:style-name="Table4.A2" office:value-type="string">
            <text:p text:style-name="P8">01-05-2015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249,83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nderzoek-Energiebeleid-Rekenkamercommissi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54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