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05" text:style-name="Internet_20_link" text:visited-style-name="Visited_20_Internet_20_Link">
              <text:span text:style-name="ListLabel_20_28">
                <text:span text:style-name="T8">1 Onroerende zaakbelastingen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5"/>
        Onroerende zaakbelastingen 2019
        <text:bookmark-end text:name="11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08-03-2019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ontwerp verordening op de heffing en invordering van de onroerende zaakbelastingen 2019.pdf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ontwerp-verordening-op-de-heffing-en-invordering-van-de-onroerende-zaakbelastingen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Ontwerp verordening op de heffing en invordering van de roerende zaakbelasting 2018.pdf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Ontwerp-verordening-op-de-heffing-en-invordering-van-de-roerende-zaakbelasting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Ontwerp verordening compensatie onroerende zaakbelastingen.pdf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Ontwerp-verordening-compensatie-onroerende-zaakbelast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Onroerende zaakbelastingen 2019.pdf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Onroerende-zaakbelastingen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0" meta:character-count="699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