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01" text:style-name="Internet_20_link" text:visited-style-name="Visited_20_Internet_20_Link">
              <text:span text:style-name="ListLabel_20_28">
                <text:span text:style-name="T8">1 Parkeermaatregelen Indische Buurt en Professorenbuurt-Noord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01"/>
        Parkeermaatregelen Indische Buurt en Professorenbuurt-Noord
        <text:bookmark-end text:name="121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28-10-2020 14:44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Parkeermaatregelen Indische Buurt en Professorenbuurt-Noord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arkeermaatregelen-Indische-Buurt-en-Professorenbuurt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Parkeerplan Indische Buurt en Professorenbuurt-Noord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Parkeerplan-Indische-Buurt-en-Professorenbuurt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Reactierapport Indische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eactierapport-Indische-buu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Parkeerbelastingverordening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Parkeerbelasting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6" meta:character-count="647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