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4" w:history="1">
        <w:r>
          <w:rPr>
            <w:rFonts w:ascii="Arial" w:hAnsi="Arial" w:eastAsia="Arial" w:cs="Arial"/>
            <w:color w:val="155CAA"/>
            <w:u w:val="single"/>
          </w:rPr>
          <w:t xml:space="preserve">1 Parkeerverordening 2014 en Nadere Regels Parkeerverordening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4"/>
      <w:r w:rsidRPr="00A448AC">
        <w:rPr>
          <w:rFonts w:ascii="Arial" w:hAnsi="Arial" w:cs="Arial"/>
          <w:b/>
          <w:bCs/>
          <w:color w:val="303F4C"/>
          <w:lang w:val="en-US"/>
        </w:rPr>
        <w:t>Parkeerverordening 2014 en Nadere Regels Parkeerverordening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2014 en Nadere Regels Parkeerverordening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rkeerverordening-2014-en-Nadere-Regels-Parkeerverordening-2014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