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2" w:history="1">
        <w:r>
          <w:rPr>
            <w:rFonts w:ascii="Arial" w:hAnsi="Arial" w:eastAsia="Arial" w:cs="Arial"/>
            <w:color w:val="155CAA"/>
            <w:u w:val="single"/>
          </w:rPr>
          <w:t xml:space="preserve">1 Projectbesluit aanvraag reguliere bouwvergunning Weeshuisgang 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2"/>
      <w:r w:rsidRPr="00A448AC">
        <w:rPr>
          <w:rFonts w:ascii="Arial" w:hAnsi="Arial" w:cs="Arial"/>
          <w:b/>
          <w:bCs/>
          <w:color w:val="303F4C"/>
          <w:lang w:val="en-US"/>
        </w:rPr>
        <w:t>Projectbesluit aanvraag reguliere bouwvergunning Weeshuisgang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Projectbesluit aanvraag reguliere bouwvergunning Weeshuisgang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jectbesluit-aanvraag-reguliere-bouwvergunning-Weeshuisgang-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