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80" text:style-name="Internet_20_link" text:visited-style-name="Visited_20_Internet_20_Link">
              <text:span text:style-name="ListLabel_20_28">
                <text:span text:style-name="T8">1 Re-integratieverordening Participatiewet Groningen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80"/>
        Re-integratieverordening Participatiewet Groningen 2024
        <text:bookmark-end text:name="138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14:46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Re-integratieverordening Participatiewet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-integratieverordening-Participatiewet-Groningen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Re-integratieverordening Participatiewet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e-integratieverordening-Participatiewet-Groning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Brief over Re-integratieverordening 2024 - Cliëntenraad W&amp;amp;I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Brief-over-Re-integratieverordening-2024-Clientenraad-W-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Re-integratieverordening Participatiewet 2024 - lokale wet- en regelgeving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369,26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Re-integratieverordening-Participatiewet-2024-lokale-wet-en-regelg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Wijzigingen Re-integratieverordening Participatiewet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Wijzigingen-Re-integratieverordening-Participatiewet-Groningen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6" meta:character-count="832" meta:non-whitespace-character-count="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