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45" text:style-name="Internet_20_link" text:visited-style-name="Visited_20_Internet_20_Link">
              <text:span text:style-name="ListLabel_20_28">
                <text:span text:style-name="T8">
                  1 Regio Groningen-Assen 
                  <text:s/>
                  actualisatie Netwerkanalyse 
                  <text:s/>
                  HOV-visie en aanvullend maatregelenpakket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45"/>
        Regio Groningen-Assen 
        <text:s/>
        actualisatie Netwerkanalyse 
        <text:s/>
        HOV-visie en aanvullend maatregelenpakket
        <text:bookmark-end text:name="30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20-09-2013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Regio Groningen-Assen 
              <text:s/>
              actualisatie Netwerkanalyse 
              <text:s/>
              HOV-visie en aanvullend maatregelenpakket.pdf
              <text:span text:style-name="T3"/>
            </text:p>
            <text:p text:style-name="P7"/>
          </table:table-cell>
          <table:table-cell table:style-name="Table4.A2" office:value-type="string">
            <text:p text:style-name="P8">20-09-2013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24,79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Regio-Groningen-Assen-actualisatie-Netwerkanalyse-HOV-visie-en-aanvullend-maatregelenpakket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526" meta:non-whitespace-character-count="4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