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37" text:style-name="Internet_20_link" text:visited-style-name="Visited_20_Internet_20_Link">
              <text:span text:style-name="ListLabel_20_28">
                <text:span text:style-name="T8">1 Rekenkameronderzoek Meldpunt Overlast en Zorg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37"/>
        Rekenkameronderzoek Meldpunt Overlast en Zorg
        <text:bookmark-end text:name="1373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06-10-2023 09:51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Rekenkameronderzoek Meldpunt Overlast en Zorg
              <text:span text:style-name="T3"/>
            </text:p>
            <text:p text:style-name="P7"/>
          </table:table-cell>
          <table:table-cell table:style-name="Table4.A2" office:value-type="string">
            <text:p text:style-name="P8">05-10-2023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176,75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ekenkameronderzoek-Meldpunt-Overlast-en-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Rekenkamer Groningen rapport Meldingen van woonoverlast
              <text:span text:style-name="T3"/>
            </text:p>
            <text:p text:style-name="P7"/>
          </table:table-cell>
          <table:table-cell table:style-name="Table4.A2" office:value-type="string">
            <text:p text:style-name="P8">06-10-2023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569,68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ekenkamer-Groningen-rapport-Meldingen-van-woonoverlas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5" meta:character-count="465" meta:non-whitespace-character-count="4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