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" w:history="1">
        <w:r>
          <w:rPr>
            <w:rFonts w:ascii="Arial" w:hAnsi="Arial" w:eastAsia="Arial" w:cs="Arial"/>
            <w:color w:val="155CAA"/>
            <w:u w:val="single"/>
          </w:rPr>
          <w:t xml:space="preserve">1 Strafbaarstelling artikel 11 van de Afvalstoffenverordening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"/>
      <w:r w:rsidRPr="00A448AC">
        <w:rPr>
          <w:rFonts w:ascii="Arial" w:hAnsi="Arial" w:cs="Arial"/>
          <w:b/>
          <w:bCs/>
          <w:color w:val="303F4C"/>
          <w:lang w:val="en-US"/>
        </w:rPr>
        <w:t>Strafbaarstelling artikel 11 van de Afvalstoffenverordening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Strafbaarstelling artikel 11 van de Afvalstoffenverordening.pdf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trafbaarstelling-artikel-11-van-de-Afvalstoffenverordening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