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3" w:history="1">
        <w:r>
          <w:rPr>
            <w:rFonts w:ascii="Arial" w:hAnsi="Arial" w:eastAsia="Arial" w:cs="Arial"/>
            <w:color w:val="155CAA"/>
            <w:u w:val="single"/>
          </w:rPr>
          <w:t xml:space="preserve">1 Strategisch evenementenbeleid en Beleidsregel Vergunningen Evenementen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3"/>
      <w:r w:rsidRPr="00A448AC">
        <w:rPr>
          <w:rFonts w:ascii="Arial" w:hAnsi="Arial" w:cs="Arial"/>
          <w:b/>
          <w:bCs/>
          <w:color w:val="303F4C"/>
          <w:lang w:val="en-US"/>
        </w:rPr>
        <w:t>Strategisch evenementenbeleid en Beleidsregel Vergunningen Evenementen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 evenementenbeleid en Beleidsregel Vergunningen Evenementen.pdf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trategisch-evenementenbeleid-en-Beleidsregel-Vergunningen-Evenement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