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78" text:style-name="Internet_20_link" text:visited-style-name="Visited_20_Internet_20_Link">
              <text:span text:style-name="ListLabel_20_28">
                <text:span text:style-name="T8">1 Toekomstagenda 2026-2030 Regio Groningen-Assen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78"/>
        Toekomstagenda 2026-2030 Regio Groningen-Assen
        <text:bookmark-end text:name="146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14-05-2025 14:39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Toekomstagenda 2026-2030 Regio Groningen-Assen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168,32 KB</text:p>
          </table:table-cell>
          <table:table-cell table:style-name="Table4.A2" office:value-type="string">
            <text:p text:style-name="P33">
              <text:a xlink:type="simple" xlink:href="https://gemeenteraad.groningen.nl//Documenten/Toekomstagenda-2026-2030-Regio-Groningen-A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Toekomstagenda 2026-2030 RGA Toekomstagenda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5,20 MB</text:p>
          </table:table-cell>
          <table:table-cell table:style-name="Table4.A2" office:value-type="string">
            <text:p text:style-name="P33">
              <text:a xlink:type="simple" xlink:href="https://gemeenteraad.groningen.nl//Documenten/Bijlage-Toekomstagenda-2026-2030-RGA-Toekomst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462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