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49" w:history="1">
        <w:r>
          <w:rPr>
            <w:rFonts w:ascii="Arial" w:hAnsi="Arial" w:eastAsia="Arial" w:cs="Arial"/>
            <w:color w:val="155CAA"/>
            <w:u w:val="single"/>
          </w:rPr>
          <w:t xml:space="preserve">1 Toepassing coördinatieregeling De Suikerzijde compensatiegebied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49"/>
      <w:r w:rsidRPr="00A448AC">
        <w:rPr>
          <w:rFonts w:ascii="Arial" w:hAnsi="Arial" w:cs="Arial"/>
          <w:b/>
          <w:bCs/>
          <w:color w:val="303F4C"/>
          <w:lang w:val="en-US"/>
        </w:rPr>
        <w:t>Toepassing coördinatieregeling De Suikerzijde compensatiegebied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coordinatieregeling De Suikerzijde compensatiegebied 2 (gewijzigd per 13-9-22)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passing-coordinatieregeling-De-Suikerzijde-compensatiegebied-2-gewijzigd-per-13-9-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