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3" w:history="1">
        <w:r>
          <w:rPr>
            <w:rFonts w:ascii="Arial" w:hAnsi="Arial" w:eastAsia="Arial" w:cs="Arial"/>
            <w:color w:val="155CAA"/>
            <w:u w:val="single"/>
          </w:rPr>
          <w:t xml:space="preserve">1 Toepassing coördinatieregeling woningbouwontwikkeling Melisseweg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3"/>
      <w:r w:rsidRPr="00A448AC">
        <w:rPr>
          <w:rFonts w:ascii="Arial" w:hAnsi="Arial" w:cs="Arial"/>
          <w:b/>
          <w:bCs/>
          <w:color w:val="303F4C"/>
          <w:lang w:val="en-US"/>
        </w:rPr>
        <w:t>Toepassing coördinatieregeling woningbouwontwikkeling Melisseweg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coördinatieregeling woningbouwontwikkeling Melisseweg.pdf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passing-cooerdinatieregeling-woningbouwontwikkeling-Melissewe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