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9" w:history="1">
        <w:r>
          <w:rPr>
            <w:rFonts w:ascii="Arial" w:hAnsi="Arial" w:eastAsia="Arial" w:cs="Arial"/>
            <w:color w:val="155CAA"/>
            <w:u w:val="single"/>
          </w:rPr>
          <w:t xml:space="preserve">1 Transitie maatschappelijk vastgoed Beijum ontwikkeling derdengebouw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9"/>
      <w:r w:rsidRPr="00A448AC">
        <w:rPr>
          <w:rFonts w:ascii="Arial" w:hAnsi="Arial" w:cs="Arial"/>
          <w:b/>
          <w:bCs/>
          <w:color w:val="303F4C"/>
          <w:lang w:val="en-US"/>
        </w:rPr>
        <w:t>Transitie maatschappelijk vastgoed Beijum ontwikkeling derdengebouw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 maatschappelijk vastgoed Beijum ontwikkeling derdengebouw.pdf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ransitie-maatschappelijk-vastgoed-Beijum-ontwikkeling-derdengebouw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