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49" text:style-name="Internet_20_link" text:visited-style-name="Visited_20_Internet_20_Link">
              <text:span text:style-name="ListLabel_20_28">
                <text:span text:style-name="T8">1 Vaststelling bodemenergieplan Stadshavens Eemskanaalzone, herziene versie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49"/>
        Vaststelling bodemenergieplan Stadshavens Eemskanaalzone, herziene versie 2023
        <text:bookmark-end text:name="136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19-07-2023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bodemenergieplan Stadshavens Eemskanaalzone, herziene versie 2023
              <text:span text:style-name="T3"/>
            </text:p>
            <text:p text:style-name="P7"/>
          </table:table-cell>
          <table:table-cell table:style-name="Table4.A2" office:value-type="string">
            <text:p text:style-name="P8">19-07-2023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odemenergieplan-Stadshavens-Eemskanaalzone-herziene-versie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Bodemenergieplan Stadhavens Eemskanaalzone (herziene versie 2023)
              <text:span text:style-name="T3"/>
            </text:p>
            <text:p text:style-name="P7"/>
          </table:table-cell>
          <table:table-cell table:style-name="Table4.A2" office:value-type="string">
            <text:p text:style-name="P8">19-07-2023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odemenergieplan-Stadhavens-Eemskanaalzone-herziene-versie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80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