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790" text:style-name="Internet_20_link" text:visited-style-name="Visited_20_Internet_20_Link">
              <text:span text:style-name="ListLabel_20_28">
                <text:span text:style-name="T8">1 Vaststelling bodemenergieplannen en aanpassingen interferentiegebieden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790"/>
        Vaststelling bodemenergieplannen en aanpassingen interferentiegebieden
        <text:bookmark-end text:name="127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12-01-2022 13:07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bodemenergieplannen en aanpassingen interferentiegebieden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odemenergieplannen-en-aanpassingen-interferentiegebi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Bodemenergieplan Binnenstad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3,55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Bodemenergieplan-Binnenstad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Bodemenergieplan Stadhavens Eemskanaalzone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2,18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Bodemenergieplan-Stadhavens-Eemskanaalzon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Bodemenergieplan Stationsgebied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5,07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Bodemenergieplan-Stationsgebi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Bodemenergieplan Suikerzijde deelgebied Noord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3,17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Bodemenergieplan-Suikerzijde-deelgebied-N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 Kaart interferentiegebied De Suikerzijde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973,73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5-Kaart-interferentiegebied-De-Suiker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 Kaart interferentiegebied Eemskanaalzone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6-Kaart-interferentiegebied-Eemskanaalzon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7 Overzichtskaart interferentiegebieden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966,29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7-Overzichtskaart-interferentiegebi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30" meta:character-count="1003" meta:non-whitespace-character-count="9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