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13" text:style-name="Internet_20_link" text:visited-style-name="Visited_20_Internet_20_Link">
              <text:span text:style-name="ListLabel_20_28">
                <text:span text:style-name="T8">1 Vaststelling verordening op de fractievergoeding en de fractieassistentie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13"/>
        Vaststelling verordening op de fractievergoeding en de fractieassistentie 2022
        <text:bookmark-end text:name="13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15-11-2022 10:55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verordening op de fractievergoeding en de fractieassistentie 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verordening-op-de-fractievergoeding-en-de-fractieassistentie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8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