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618" text:style-name="Internet_20_link" text:visited-style-name="Visited_20_Internet_20_Link">
              <text:span text:style-name="ListLabel_20_28">
                <text:span text:style-name="T8">1 Verordening Stadjerspas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618"/>
        Verordening Stadjerspas
        <text:bookmark-end text:name="1461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10-04-2025 10:00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Verordening Stadjerspas
              <text:span text:style-name="T3"/>
            </text:p>
            <text:p text:style-name="P7"/>
          </table:table-cell>
          <table:table-cell table:style-name="Table4.A2" office:value-type="string">
            <text:p text:style-name="P8">09-04-2025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180,10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erordening-Stadjerspa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Verordening Stadjerspas gemeente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09-04-2025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153,73 KB</text:p>
          </table:table-cell>
          <table:table-cell table:style-name="Table4.A2" office:value-type="string">
            <text:p text:style-name="P33">
              <text:a xlink:type="simple" xlink:href="https://gemeenteraad.groningen.nl//Documenten/Bijlage-Verordening-Stadjerspas-gemeente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5" meta:character-count="394" meta:non-whitespace-character-count="3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566462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566462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