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08" text:style-name="Internet_20_link" text:visited-style-name="Visited_20_Internet_20_Link">
              <text:span text:style-name="ListLabel_20_28">
                <text:span text:style-name="T8">1 Verordening op de heffing en invordering van brug- en havengeld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08"/>
        Verordening op de heffing en invordering van brug- en havengeld 2024
        <text:bookmark-end text:name="140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13-03-2024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op de heffing en invordering van brug- en havengeld 2024
              <text:span text:style-name="T3"/>
            </text:p>
            <text:p text:style-name="P7"/>
          </table:table-cell>
          <table:table-cell table:style-name="Table4.A2" office:value-type="string">
            <text:p text:style-name="P8">13-03-2024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op-de-heffing-en-invordering-van-brug-en-havengeld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wijzigingen van het Aanwijsbesluit bij de Verordening openbaar vaarwater 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wijzigingen-van-het-Aanwijsbesluit-bij-de-Verordening-openbaar-vaarwat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Verordening op de heffing en invordering van brug- en havengeld 2024
              <text:span text:style-name="T3"/>
            </text:p>
            <text:p text:style-name="P7"/>
          </table:table-cell>
          <table:table-cell table:style-name="Table4.A2" office:value-type="string">
            <text:p text:style-name="P8">13-03-2024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de-Verordening-op-de-heffing-en-invordering-van-brug-en-havengel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wijzigingen Verordening op de heffing en invordering van brug- en havengeld 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wijzigingen-Verordening-op-de-heffing-en-invordering-van-brug-en-havengel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29" meta:character-count="799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