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35" text:style-name="Internet_20_link" text:visited-style-name="Visited_20_Internet_20_Link">
              <text:span text:style-name="ListLabel_20_28">
                <text:span text:style-name="T8">1 Verordening tot wijziging van artikel 2 35b van de Algemeen Plaatselijke Verordening Groningen 2009 (bepaling para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35"/>
        Verordening tot wijziging van artikel 2 35b van de Algemeen Plaatselijke Verordening Groningen 2009 (bepaling para
        <text:bookmark-end text:name="43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28-08-2014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Verordening tot wijziging van artikel 2 35b van de Algemeen Plaatselijke Verordening Groningen 2009 (bepaling para.pdf
              <text:span text:style-name="T3"/>
            </text:p>
            <text:p text:style-name="P7"/>
          </table:table-cell>
          <table:table-cell table:style-name="Table4.A2" office:value-type="string">
            <text:p text:style-name="P8">28-08-2014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610,79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ordening-tot-wijziging-van-artikel-2-35b-van-de-Algemeen-Plaatselijke-Verordening-Groningen-2009-bepaling-para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6" meta:character-count="590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