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28" text:style-name="Internet_20_link" text:visited-style-name="Visited_20_Internet_20_Link">
              <text:span text:style-name="ListLabel_20_28">
                <text:span text:style-name="T8">1 Verordening verrekening bestuurlijke boete bij recidive Participatiewet 2015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28"/>
        Verordening verrekening bestuurlijke boete bij recidive Participatiewet 2015
        <text:bookmark-end text:name="53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28-08-2015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Verordening verrekening bestuurlijke boete bij recidive Participatiewet 2015.pdf
              <text:span text:style-name="T3"/>
            </text:p>
            <text:p text:style-name="P7"/>
          </table:table-cell>
          <table:table-cell table:style-name="Table4.A2" office:value-type="string">
            <text:p text:style-name="P8">28-08-2015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314,02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ordening-verrekening-bestuurlijke-boete-bij-recidive-Participatiewet-201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76" meta:non-whitespace-character-count="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