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33" text:style-name="Internet_20_link" text:visited-style-name="Visited_20_Internet_20_Link">
              <text:span text:style-name="ListLabel_20_28">
                <text:span text:style-name="T8">1 Vervangingsinvesteringen Sport 2026 en aanvullend krediet blaashal hockey sportpark Corpus den Hoorn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33"/>
        Vervangingsinvesteringen Sport 2026 en aanvullend krediet blaashal hockey sportpark Corpus den Hoorn
        <text:bookmark-end text:name="149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05-11-2025 16:16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Vervangingsinvesteringen Sport 2026 en aanvullend krediet blaashal hockey sportpark Corpus den Hoorn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321,50 KB</text:p>
          </table:table-cell>
          <table:table-cell table:style-name="Table4.A2" office:value-type="string">
            <text:p text:style-name="P33">
              <text:a xlink:type="simple" xlink:href="https://gemeenteraad.groningen.nl//Documenten/Vervangingsinvesteringen-Sport-2026-en-aanvullend-krediet-blaashal-hockey-sportpark-Corpus-den-Hoor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44" meta:non-whitespace-character-count="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