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2" w:history="1">
        <w:r>
          <w:rPr>
            <w:rFonts w:ascii="Arial" w:hAnsi="Arial" w:eastAsia="Arial" w:cs="Arial"/>
            <w:color w:val="155CAA"/>
            <w:u w:val="single"/>
          </w:rPr>
          <w:t xml:space="preserve">1 Vervolgfinanciering Warmtestad Noordwest fase 1 en 2a en WKO's 2025-2026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2"/>
      <w:r w:rsidRPr="00A448AC">
        <w:rPr>
          <w:rFonts w:ascii="Arial" w:hAnsi="Arial" w:cs="Arial"/>
          <w:b/>
          <w:bCs/>
          <w:color w:val="303F4C"/>
          <w:lang w:val="en-US"/>
        </w:rPr>
        <w:t>Vervolgfinanciering Warmtestad Noordwest fase 1 en 2a en WKO's 2025-2026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Vervolgfinanciering Warmtestad Noordwest fase 1 en 2a en WKO's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volgfinanciering-Warmtestad-Noordwest-fase-1-en-2a-en-WKO-s-2025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