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546" w:history="1">
        <w:r>
          <w:rPr>
            <w:rFonts w:ascii="Arial" w:hAnsi="Arial" w:eastAsia="Arial" w:cs="Arial"/>
            <w:color w:val="155CAA"/>
            <w:u w:val="single"/>
          </w:rPr>
          <w:t xml:space="preserve">1 Vervolginvestering Warmtenet Noordwest fase 2a en verkenning 2b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546"/>
      <w:r w:rsidRPr="00A448AC">
        <w:rPr>
          <w:rFonts w:ascii="Arial" w:hAnsi="Arial" w:cs="Arial"/>
          <w:b/>
          <w:bCs/>
          <w:color w:val="303F4C"/>
          <w:lang w:val="en-US"/>
        </w:rPr>
        <w:t>Vervolginvestering Warmtenet Noordwest fase 2a en verkenning 2b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06-06-2023 15:38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Vervolginvestering Warmtenet Noordwest fase 2a en verkenning 2b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Vervolginvestering-Warmtenet-Noordwest-fase-2a-en-verkenning-2b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