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12:44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25" text:style-name="Internet_20_link" text:visited-style-name="Visited_20_Internet_20_Link">
              <text:span text:style-name="ListLabel_20_28">
                <text:span text:style-name="T8">1 Visie openbare laadinfrastructuur Groningen 2025 (383967-2019)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25"/>
        Visie openbare laadinfrastructuur Groningen 2025 (383967-2019)
        <text:bookmark-end text:name="26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28-11-2019 09:28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Visie openbare laadinfrastructuur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4.A2" office:value-type="string">
            <text:p text:style-name="P33">
              <text:a xlink:type="simple" xlink:href="https://gemeenteraad.groningen.nl//Documenten/Bijlage/Visie-openbare-laadinfrastructuur-Gronin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Verordening Openbare Laadinfrastructuur 2020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Verordening-Openbare-Laadinfrastructuur-2020-Groning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Visie openbare laadinfrastructuur Groningen 2025 (383967-2019).pdf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177,37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isie-openbare-laadinfrastructuur-Groningen-2025-383967-2019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7" meta:character-count="598" meta:non-whitespace-character-count="5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