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" w:history="1">
        <w:r>
          <w:rPr>
            <w:rFonts w:ascii="Arial" w:hAnsi="Arial" w:eastAsia="Arial" w:cs="Arial"/>
            <w:color w:val="155CAA"/>
            <w:u w:val="single"/>
          </w:rPr>
          <w:t xml:space="preserve">1 Wijziging Algemene Subsidieverordening  ASV  i v m  topinkomens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"/>
      <w:r w:rsidRPr="00A448AC">
        <w:rPr>
          <w:rFonts w:ascii="Arial" w:hAnsi="Arial" w:cs="Arial"/>
          <w:b/>
          <w:bCs/>
          <w:color w:val="303F4C"/>
          <w:lang w:val="en-US"/>
        </w:rPr>
        <w:t>Wijziging Algemene Subsidieverordening  ASV  i v m  topinkomens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Algemene Subsidieverordening  ASV  i v m 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Algemene-Subsidieverordening-ASV-i-v-m-topinkomen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