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18:46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5301" text:style-name="Internet_20_link" text:visited-style-name="Visited_20_Internet_20_Link">
              <text:span text:style-name="ListLabel_20_28">
                <text:span text:style-name="T8">1 Wijziging Financiële Verordening gemeente Groningen (GrESCO)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301"/>
        Wijziging Financiële Verordening gemeente Groningen (GrESCO)
        <text:bookmark-end text:name="530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30-04-2015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Wijziging Financiële Verordening gemeente Groningen (GrESCO).pdf
              <text:span text:style-name="T3"/>
            </text:p>
            <text:p text:style-name="P7"/>
          </table:table-cell>
          <table:table-cell table:style-name="Table4.A2" office:value-type="string">
            <text:p text:style-name="P8">30-04-2015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319,67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Wijziging-Financiele-Verordening-gemeente-Groningen-GrESCO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6" meta:character-count="428" meta:non-whitespace-character-count="3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1110842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1110842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