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12" w:history="1">
        <w:r>
          <w:rPr>
            <w:rFonts w:ascii="Arial" w:hAnsi="Arial" w:eastAsia="Arial" w:cs="Arial"/>
            <w:color w:val="155CAA"/>
            <w:u w:val="single"/>
          </w:rPr>
          <w:t xml:space="preserve">1 Wijziging Gemeenschappelijke Regeling Noordelijk Belastingkantoor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12"/>
      <w:r w:rsidRPr="00A448AC">
        <w:rPr>
          <w:rFonts w:ascii="Arial" w:hAnsi="Arial" w:cs="Arial"/>
          <w:b/>
          <w:bCs/>
          <w:color w:val="303F4C"/>
          <w:lang w:val="en-US"/>
        </w:rPr>
        <w:t>Wijziging Gemeenschappelijke Regeling Noordelijk Belastingkantoor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 14:14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Gemeenschappelijke Regeling Noordelijk Belastingkantoor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Wijziging-Gemeenschappelijke-Regeling-Noordelijk-Belastingkantoo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