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09" text:style-name="Internet_20_link" text:visited-style-name="Visited_20_Internet_20_Link">
              <text:span text:style-name="ListLabel_20_28">
                <text:span text:style-name="T8">1 Wijziging gemeenschappelijke regeling Publieke Gezondheid en Zorg Groningen (GR PG&amp;amp;Z)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09"/>
        Wijziging gemeenschappelijke regeling Publieke Gezondheid en Zorg Groningen (GR PG&amp;amp;Z)
        <text:bookmark-end text:name="120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26-08-2020 13:14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gemeenschappelijke regeling Publieke Gezondheid en Zorg Groningen (GR PG&amp;amp;Z)
              <text:span text:style-name="T3"/>
            </text:p>
            <text:p text:style-name="P7"/>
          </table:table-cell>
          <table:table-cell table:style-name="Table4.A2" office:value-type="string">
            <text:p text:style-name="P8">26-08-2020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gemeenschappelijke-regeling-Publieke-Gezondheid-en-Zorg-Groningen-GR-PG-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Brief aan gemeenten wijziging GR PGZ
              <text:span text:style-name="T3"/>
            </text:p>
            <text:p text:style-name="P7"/>
          </table:table-cell>
          <table:table-cell table:style-name="Table4.A2" office:value-type="string">
            <text:p text:style-name="P8">26-08-2020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Brief-aan-gemeenten-wijziging-GR-PG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Tekst wijziging GR PG&amp;amp;Z
              <text:span text:style-name="T3"/>
            </text:p>
            <text:p text:style-name="P7"/>
          </table:table-cell>
          <table:table-cell table:style-name="Table4.A2" office:value-type="string">
            <text:p text:style-name="P8">26-08-2020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Tekst-wijziging-GR-PG-Z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4" meta:character-count="655" meta:non-whitespace-character-count="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