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86" w:history="1">
        <w:r>
          <w:rPr>
            <w:rFonts w:ascii="Arial" w:hAnsi="Arial" w:eastAsia="Arial" w:cs="Arial"/>
            <w:color w:val="155CAA"/>
            <w:u w:val="single"/>
          </w:rPr>
          <w:t xml:space="preserve">1 Wijziging hoofdstuk 3 van de APVG 2009 + Nota Prostitutie en overige seksbedrijven (gewijzigd raadsvoorstel)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86"/>
      <w:r w:rsidRPr="00A448AC">
        <w:rPr>
          <w:rFonts w:ascii="Arial" w:hAnsi="Arial" w:cs="Arial"/>
          <w:b/>
          <w:bCs/>
          <w:color w:val="303F4C"/>
          <w:lang w:val="en-US"/>
        </w:rPr>
        <w:t>Wijziging hoofdstuk 3 van de APVG 2009 + Nota Prostitutie en overige seksbedrijven (gewijzigd raadsvoorstel)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hoofdstuk 3 van de APVG 2009 + Nota Prostitutie en overige seksbedrijven (gewijzigd raadsvoorstel).pdf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ziging-hoofdstuk-3-van-de-APVG-2009-Nota-Prostitutie-en-overige-seksbedrijven-gewijzigd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