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15:41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64" text:style-name="Internet_20_link" text:visited-style-name="Visited_20_Internet_20_Link">
              <text:span text:style-name="ListLabel_20_28">
                <text:span text:style-name="T8">1 Wijzigingen APVG ivm vaststelling Beleidsnota Standplaatsen 2014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64"/>
        Wijzigingen APVG ivm vaststelling Beleidsnota Standplaatsen 2014
        <text:bookmark-end text:name="306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31-10-2013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Wijzigingen APVG ivm vaststelling Beleidsnota Standplaatsen 2014.pdf
              <text:span text:style-name="T3"/>
            </text:p>
            <text:p text:style-name="P7"/>
          </table:table-cell>
          <table:table-cell table:style-name="Table4.A2" office:value-type="string">
            <text:p text:style-name="P8">31-10-2013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405,12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Wijzigingen-APVG-ivm-vaststelling-Beleidsnota-Standplaatsen-2014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440" meta:non-whitespace-character-count="4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