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19" text:style-name="Internet_20_link" text:visited-style-name="Visited_20_Internet_20_Link">
              <text:span text:style-name="ListLabel_20_28">
                <text:span text:style-name="T8">1 Aanpak schimmelwoningen (CDA, SP, 16-3-2021)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19"/>
        Aanpak schimmelwoningen (CDA, SP, 16-3-2021)
        <text:bookmark-end text:name="123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14-04-2021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aanpak schimmelwoningen (SP, CDA, 16-3-2021)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173,62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aanpak-schimmelwoningen-CDA-SP-16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SP, CDA ex art. 38 RvO over aanpak schimmelwoningen vanaf 2018 tot heden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85,01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SP-CDA-ex-art-38-RvO-over-aanpak-schimmelwoningen-vanaf-2018-tot-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03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