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6" text:style-name="Internet_20_link" text:visited-style-name="Visited_20_Internet_20_Link">
              <text:span text:style-name="ListLabel_20_28">
                <text:span text:style-name="T8">1 Afblazen Helperzoomtunnel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6"/>
        Afblazen Helperzoomtunnel
        <text:bookmark-end text:name="1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Afblazen Helperzoomtunnel.pdf
              <text:span text:style-name="T3"/>
            </text:p>
            <text:p text:style-name="P7"/>
          </table:table-cell>
          <table:table-cell table:style-name="Table4.A2" office:value-type="string">
            <text:p text:style-name="P8">14-05-2018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blazen-Helperzoomtunn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100% Groningen en de PvdD over afblazen Helperzoomtunnel.pdf
              <text:span text:style-name="T3"/>
            </text:p>
            <text:p text:style-name="P7"/>
          </table:table-cell>
          <table:table-cell table:style-name="Table4.A2" office:value-type="string">
            <text:p text:style-name="P8">14-05-2018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100-Groningen-en-de-PvdD-over-afblazen-Helperzoomtun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5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