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02:05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323" text:style-name="Internet_20_link" text:visited-style-name="Visited_20_Internet_20_Link">
              <text:span text:style-name="ListLabel_20_28">
                <text:span text:style-name="T8">1 Armoedebestrijding door kerken en diaconale organisaties (CU, 8-02-2023)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323"/>
        Armoedebestrijding door kerken en diaconale organisaties (CU, 8-02-2023)
        <text:bookmark-end text:name="1332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(CU, 8-02-2023)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15-3-2023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15-03-2023 11:13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Armoedebestrijding door kerken en diaconale organisaties
              <text:span text:style-name="T3"/>
            </text:p>
            <text:p text:style-name="P7"/>
          </table:table-cell>
          <table:table-cell table:style-name="Table5.A2" office:value-type="string">
            <text:p text:style-name="P8">08-02-2023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179,51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Armoedebestrijding-door-kerken-en-diaconale-organisat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ChristenUnie over kerken en armoede
              <text:span text:style-name="T3"/>
            </text:p>
            <text:p text:style-name="P7"/>
          </table:table-cell>
          <table:table-cell table:style-name="Table5.A2" office:value-type="string">
            <text:p text:style-name="P8">15-03-2023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100,72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ChristenUnie-over-kerken-en-armo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86" meta:character-count="621" meta:non-whitespace-character-count="5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1662371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1662371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