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42" text:style-name="Internet_20_link" text:visited-style-name="Visited_20_Internet_20_Link">
              <text:span text:style-name="ListLabel_20_28">
                <text:span text:style-name="T8">1 Atlas voor gemeenten (VVD, Stadspartij, 5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42"/>
        Atlas voor gemeenten (VVD, Stadspartij, 5 juni 2023)
        <text:bookmark-end text:name="135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Stadspartij 100% voor Groningen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5-6-2023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5-7-23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05-07-2023 10:57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Atlas voor gemeenten (VVD, Stadspartij, 5 juni 2023)
              <text:span text:style-name="T3"/>
            </text:p>
            <text:p text:style-name="P7"/>
          </table:table-cell>
          <table:table-cell table:style-name="Table5.A2" office:value-type="string">
            <text:p text:style-name="P8">05-06-2023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tlas-voor-gemeenten-VVD-Stadspartij-5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VVD en Stadspartij 100% voor Groningen over Atlas voor Gemeenten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VVD-en-Stadspartij-100-voor-Groningen-over-Atlas-voor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649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