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06" text:style-name="Internet_20_link" text:visited-style-name="Visited_20_Internet_20_Link">
              <text:span text:style-name="ListLabel_20_28">
                <text:span text:style-name="T8">1 Berichten in de media over de financiële positie van de Rijksuniversiteit Groningen (Stadspartij 100%, 26-9-2023)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06"/>
        Berichten in de media over de financiële positie van de Rijksuniversiteit Groningen (Stadspartij 100%, 26-9-2023)
        <text:bookmark-end text:name="137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26-9-2023)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11:29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Berichten in de media over de financiële positie van de Rijksuniversiteit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26-09-2023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richten-in-de-media-over-de-financiele-positie-van-de-Rijksuniversiteit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Stadspartij 100% over berichten in de media over de financiele positie van de RUG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tadspartij-100-over-berichten-in-de-media-over-de-financiele-positie-van-de-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6" meta:character-count="790" meta:non-whitespace-character-count="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