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99" text:style-name="Internet_20_link" text:visited-style-name="Visited_20_Internet_20_Link">
              <text:span text:style-name="ListLabel_20_28">
                <text:span text:style-name="T8">1 Binnenstad en reclamebelasting (D66, S&amp;amp;S, VVD, Stadspartij 100% v Gr., PvhN, CDA, PVV, 15-5-2023)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99"/>
        Binnenstad en reclamebelasting (D66, S&amp;amp;S, VVD, Stadspartij 100% v Gr., PvhN, CDA, PVV, 15-5-2023)
        <text:bookmark-end text:name="134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Binnenstad reclamebelasting (D66, S&amp;S, VVD, Stadspartij 100% v Gr., PvhN, CDA, PVV,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15-5-2023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16-06-2023 10:22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Binnenstad en reclamebelasting (D66, S&amp;amp;S, VVD, Stadspartij 100% v Gr., PvhN, CDA, PVV, 15-5-2023)
              <text:span text:style-name="T3"/>
            </text:p>
            <text:p text:style-name="P7"/>
          </table:table-cell>
          <table:table-cell table:style-name="Table5.A2" office:value-type="string">
            <text:p text:style-name="P8">15-05-2023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innenstad-reclamebelasting-D66-S-S-VVD-Stadspartij-100-v-Gr-PvhN-CDA-PVV-15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D66, S&amp;amp;S, VVD, Stadspartij 100%, CDA, PVV, PvhN inzake warrig binnenstadsbeleid en reclamebelasting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16-06-2023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S-S-VVD-Stadspartij-100-CDA-PVV-PvhN-inzake-warrig-binnenstadsbeleid-en-reclame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27" meta:character-count="882" meta:non-whitespace-character-count="7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