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94" text:style-name="Internet_20_link" text:visited-style-name="Visited_20_Internet_20_Link">
              <text:span text:style-name="ListLabel_20_28">
                <text:span text:style-name="T8">1 Buitenschoolse dagbesteding voor kinderen met een beperking (CDA, 18-01-2023)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94"/>
        Buitenschoolse dagbesteding voor kinderen met een beperking (CDA, 18-01-2023)
        <text:bookmark-end text:name="132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18-01-2023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8-2-22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08-02-2023 11:42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Buitenschoolse dagbesteding voor kinderen met een beperking (CDA, 18-01-2023)
              <text:span text:style-name="T3"/>
            </text:p>
            <text:p text:style-name="P7"/>
          </table:table-cell>
          <table:table-cell table:style-name="Table5.A2" office:value-type="string">
            <text:p text:style-name="P8">18-01-2023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uitenschoolse-dagbesteding-voor-kinderen-met-een-beperking-CDA-18-01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het CDA over buitenschoolse dagbesteding voor kinderen met een beperking
              <text:span text:style-name="T3"/>
            </text:p>
            <text:p text:style-name="P7"/>
          </table:table-cell>
          <table:table-cell table:style-name="Table5.A2" office:value-type="string">
            <text:p text:style-name="P8">08-02-2023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111,60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het-CDA-over-buitenschoolse-dagbesteding-voor-kinderen-met-een-beper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9" meta:character-count="702" meta:non-whitespace-character-count="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