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418" text:style-name="Internet_20_link" text:visited-style-name="Visited_20_Internet_20_Link">
              <text:span text:style-name="ListLabel_20_28">
                <text:span text:style-name="T8">1 Collectieve straffen en de rol van gemeenten in het voetbalbeleid (Stadspartij 100%, 28-11-2024)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18"/>
        Collectieve straffen en de rol van gemeenten in het voetbalbeleid (Stadspartij 100%, 28-11-2024)
        <text:bookmark-end text:name="144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(Stadspartij 100%, 28-11-2024)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18-12-24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18-12-2024 11:56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Collectieve straffen en de rol van gemeenten in het voetbalbeleid (Stadspartij 100%, 28-11-2024)
              <text:span text:style-name="T3"/>
            </text:p>
            <text:p text:style-name="P7"/>
          </table:table-cell>
          <table:table-cell table:style-name="Table5.A2" office:value-type="string">
            <text:p text:style-name="P8">28-11-2024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46,47 KB</text:p>
          </table:table-cell>
          <table:table-cell table:style-name="Table5.A2" office:value-type="string">
            <text:p text:style-name="P33">
              <text:a xlink:type="simple" xlink:href="https://gemeenteraad.groningen.nl//Documenten/Collectieve-straffen-en-de-rol-van-gemeenten-in-het-voetbalbeleid-Stadspartij-100-28-11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Stadspartij 100% voor Groningen over collectieve straffen en de rol van gemeenten in het voetbalbeleid
              <text:span text:style-name="T3"/>
            </text:p>
            <text:p text:style-name="P7"/>
          </table:table-cell>
          <table:table-cell table:style-name="Table5.A2" office:value-type="string">
            <text:p text:style-name="P8">18-12-2024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100,25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Stadspartij-100-voor-Groningen-over-collectieve-straffen-en-de-rol-van-gemeenten-in-het-voetbal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16" meta:character-count="797" meta:non-whitespace-character-count="7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