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854" w:history="1">
        <w:r>
          <w:rPr>
            <w:rFonts w:ascii="Arial" w:hAnsi="Arial" w:eastAsia="Arial" w:cs="Arial"/>
            <w:color w:val="155CAA"/>
            <w:u w:val="single"/>
          </w:rPr>
          <w:t xml:space="preserve">1 Collegebrief Edanz (PvhN, Stadspartij, 11-12-2023)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854"/>
      <w:r w:rsidRPr="00A448AC">
        <w:rPr>
          <w:rFonts w:ascii="Arial" w:hAnsi="Arial" w:cs="Arial"/>
          <w:b/>
          <w:bCs/>
          <w:color w:val="303F4C"/>
          <w:lang w:val="en-US"/>
        </w:rPr>
        <w:t>Collegebrief Edanz (PvhN, Stadspartij, 11-12-2023)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PvhN, Stadspartij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17-1-24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17-01-2024 12:12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Collegebrief Edanz (PvhN, Stadspartij, 11-12-2023)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Partij voor het Noorden en Stadspartij 100% voor Groningen over collegebrief Edanz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Collegebrief-Edanz-PvhN-Stadspartij-11-12-2023.pdf" TargetMode="External" /><Relationship Id="rId25" Type="http://schemas.openxmlformats.org/officeDocument/2006/relationships/hyperlink" Target="https://gemeenteraad.groningen.nl//Documenten/Beantwoording-vragen-ex-art-36-RvO-Partij-voor-het-Noorden-en-Stadspartij-100-voor-Groningen-over-collegebrief-Edanz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