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73" text:style-name="Internet_20_link" text:visited-style-name="Visited_20_Internet_20_Link">
              <text:span text:style-name="ListLabel_20_28">
                <text:span text:style-name="T8">1 De ontwikkelingen bij Jeugdbescherming Noord (PVV, Stadspartij 100%, 30-9-2025)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73"/>
        De ontwikkelingen bij Jeugdbescherming Noord (PVV, Stadspartij 100%, 30-9-2025)
        <text:bookmark-end text:name="148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PVV, Stadspartij 100%,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30-9-2025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05-11-2025 12:32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ontwikkelingen bij Jeugdbescherming Noord (PVV, Stadspartij 100%, 30-9-2025)
              <text:span text:style-name="T3"/>
            </text:p>
            <text:p text:style-name="P7"/>
          </table:table-cell>
          <table:table-cell table:style-name="Table5.A2" office:value-type="string">
            <text:p text:style-name="P8">30-09-2025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288,83 KB</text:p>
          </table:table-cell>
          <table:table-cell table:style-name="Table5.A2" office:value-type="string">
            <text:p text:style-name="P33">
              <text:a xlink:type="simple" xlink:href="https://gemeenteraad.groningen.nl//Documenten/De-ontwikkelingen-bij-Jeugdbescherming-Noord-PVV-Stadspartij-100-30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Stadspartij 100% voor Groningen en PVV over de ontwikkelingen bij Jeugdbescherming Noord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tadspartij-100-voor-Groningen-en-PVV-over-de-ontwikkelingen-bij-Jeugdbescherming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4" meta:character-count="750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