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16:07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606" text:style-name="Internet_20_link" text:visited-style-name="Visited_20_Internet_20_Link">
              <text:span text:style-name="ListLabel_20_28">
                <text:span text:style-name="T8">1 De sloopregeling voor brommers en scooters (PvdA, PvhN, 3-4-2025)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606"/>
        De sloopregeling voor brommers en scooters (PvdA, PvhN, 3-4-2025)
        <text:bookmark-end text:name="1460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(PvdA, PvhN, 3-4-2025)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7-5-25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07-05-2025 11:01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De sloopregeling voor brommers en scooters (PvdA, PvhN, 3-4-2025)
              <text:span text:style-name="T3"/>
            </text:p>
            <text:p text:style-name="P7"/>
          </table:table-cell>
          <table:table-cell table:style-name="Table5.A2" office:value-type="string">
            <text:p text:style-name="P8">03-04-2025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125,33 KB</text:p>
          </table:table-cell>
          <table:table-cell table:style-name="Table5.A2" office:value-type="string">
            <text:p text:style-name="P33">
              <text:a xlink:type="simple" xlink:href="https://gemeenteraad.groningen.nl//Documenten/De-sloopregeling-voor-brommers-en-scooters-PvdA-PvhN-3-4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art.36 RvO van de PvdA en PvhN over de Spuk SLA-sloopregeling voor de sloop van vervuilende brommers en scooters
              <text:span text:style-name="T3"/>
            </text:p>
            <text:p text:style-name="P7"/>
          </table:table-cell>
          <table:table-cell table:style-name="Table5.A2" office:value-type="string">
            <text:p text:style-name="P8">07-05-2025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97,15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van-de-PvdA-en-PvhN-over-de-Spuk-SLA-sloopregeling-voor-de-sloop-van-vervuilende-brommers-en-scoot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104" meta:character-count="690" meta:non-whitespace-character-count="6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849588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849588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