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53" text:style-name="Internet_20_link" text:visited-style-name="Visited_20_Internet_20_Link">
              <text:span text:style-name="ListLabel_20_28">
                <text:span text:style-name="T8">1 Gedrag van jongeren op fatbikes (PVV, 6-5-2025)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53"/>
        Gedrag van jongeren op fatbikes (PVV, 6-5-2025)
        <text:bookmark-end text:name="146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(PVV, 6-5-2025)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28-5-25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28-05-2025 11:08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Gedrag van jongeren op fatbikes (PVV, 6-5-2025)
              <text:span text:style-name="T3"/>
            </text:p>
            <text:p text:style-name="P7"/>
          </table:table-cell>
          <table:table-cell table:style-name="Table5.A2" office:value-type="string">
            <text:p text:style-name="P8">06-05-2025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5.A2" office:value-type="string">
            <text:p text:style-name="P33">
              <text:a xlink:type="simple" xlink:href="https://gemeenteraad.groningen.nl//Documenten/Gedrag-van-jongeren-op-fatbikes-PVV-6-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PVV over herhaaldelijke overlast jongeren op fatbikes
              <text:span text:style-name="T3"/>
            </text:p>
            <text:p text:style-name="P7"/>
          </table:table-cell>
          <table:table-cell table:style-name="Table5.A2" office:value-type="string">
            <text:p text:style-name="P8">28-05-2025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PVV-over-herhaaldelijke-overlast-jongeren-op-fatbik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0" meta:character-count="590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