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76" text:style-name="Internet_20_link" text:visited-style-name="Visited_20_Internet_20_Link">
              <text:span text:style-name="ListLabel_20_28">
                <text:span text:style-name="T8">1 Geen huisuitzettingen en verlenging tijdelijke huurcontracten (SP, 28-07-2022)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76"/>
        Geen huisuitzettingen en verlenging tijdelijke huurcontracten (SP, 28-07-2022)
        <text:bookmark-end text:name="130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14-09-2022 10:23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Geen huisuitzettingen en verlenging tijdelijke huurcontracten (SP, 28-07-2022)
              <text:span text:style-name="T3"/>
            </text:p>
            <text:p text:style-name="P7"/>
          </table:table-cell>
          <table:table-cell table:style-name="Table5.A2" office:value-type="string">
            <text:p text:style-name="P8">15-08-2022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een-huisuitzettingen-en-verlenging-tijdelijke-huurcontracten-SP-28-07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36 RvO over geen huisuitzettingen en verlenging tijdelijke huurcontracten
              <text:span text:style-name="T3"/>
            </text:p>
            <text:p text:style-name="P7"/>
          </table:table-cell>
          <table:table-cell table:style-name="Table5.A2" office:value-type="string">
            <text:p text:style-name="P8">14-09-2022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6-RvO-over-geen-huisuitzettingen-en-verlenging-tijdelijke-huurcontra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3" meta:character-count="699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