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13:31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015" text:style-name="Internet_20_link" text:visited-style-name="Visited_20_Internet_20_Link">
              <text:span text:style-name="ListLabel_20_28">
                <text:span text:style-name="T8">1 Geheimhouding (VVD, D66, Stadspartij 100%, S&amp;amp;S, CDA, PvhN, PVV, 19-3-2024)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015"/>
        Geheimhouding (VVD, D66, Stadspartij 100%, S&amp;amp;S, CDA, PvhN, PVV, 19-3-2024)
        <text:bookmark-end text:name="1401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(VVD, D66, Stadspartij 100%, S&amp;S, CDA, PvhN, PVV, 19-3-2024)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25-4-24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25-04-2024 14:57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Geheimhouding (VVD, D66, Stadspartij 100%, S&amp;amp;S, CDA, PvhN, PVV, 19-3-2024)
              <text:span text:style-name="T3"/>
            </text:p>
            <text:p text:style-name="P7"/>
          </table:table-cell>
          <table:table-cell table:style-name="Table5.A2" office:value-type="string">
            <text:p text:style-name="P8">19-03-2024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35,33 KB</text:p>
          </table:table-cell>
          <table:table-cell table:style-name="Table5.A2" office:value-type="string">
            <text:p text:style-name="P33">
              <text:a xlink:type="simple" xlink:href="https://gemeenteraad.groningen.nl//Documenten/Geheimhouding-VVD-D66-Stadspartij-100-S-S-CDA-PvhN-PVV-19-3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VVD, Stadspartij 100%, D66, S&amp;amp;S, CDA, PvhN en PVV over Geheimhouding gemeente
              <text:span text:style-name="T3"/>
            </text:p>
            <text:p text:style-name="P7"/>
          </table:table-cell>
          <table:table-cell table:style-name="Table5.A2" office:value-type="string">
            <text:p text:style-name="P8">25-04-2024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148,44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VD-Stadspartij-100-D66-S-S-CDA-PvhN-en-PVV-over-Geheimhouding-gemeen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108" meta:character-count="744" meta:non-whitespace-character-count="6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1963566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1963566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